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8931CD6" w:rsidR="00F92268" w:rsidRPr="00FF66BF" w:rsidRDefault="00FD03FB" w:rsidP="00F246C7">
            <w:pPr>
              <w:pStyle w:val="RefTableHeader"/>
            </w:pPr>
            <w:r>
              <w:t>2122-A</w:t>
            </w:r>
          </w:p>
        </w:tc>
      </w:tr>
    </w:tbl>
    <w:p w14:paraId="74FBA5B4" w14:textId="77777777" w:rsidR="00051356" w:rsidRDefault="00051356" w:rsidP="00A672B3">
      <w:pPr>
        <w:pStyle w:val="BodyText"/>
        <w:rPr>
          <w:b/>
          <w:bCs/>
          <w:sz w:val="16"/>
          <w:szCs w:val="16"/>
        </w:rPr>
        <w:sectPr w:rsidR="00051356" w:rsidSect="00D271C2">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BCBA183" w:rsidR="004B15BB" w:rsidRPr="00BD1CC1" w:rsidRDefault="00133369" w:rsidP="005E2B8B">
      <w:pPr>
        <w:pStyle w:val="Heading1"/>
      </w:pPr>
      <w:r w:rsidRPr="00133369">
        <w:t>Specialty Guideline Management</w:t>
      </w:r>
      <w:r w:rsidR="005E2B8B">
        <w:br/>
      </w:r>
      <w:r w:rsidR="004A38E0" w:rsidRPr="004A38E0">
        <w:t>carglumic acid</w:t>
      </w:r>
      <w:r w:rsidR="004A38E0">
        <w:t>-</w:t>
      </w:r>
      <w:r>
        <w:t>Carbaglu</w:t>
      </w:r>
    </w:p>
    <w:p w14:paraId="78861C92" w14:textId="734A502D" w:rsidR="00203468" w:rsidRPr="00BD1CC1" w:rsidRDefault="00C64534" w:rsidP="008E0F0D">
      <w:pPr>
        <w:pStyle w:val="Heading2"/>
      </w:pPr>
      <w:r w:rsidRPr="00BD1CC1">
        <w:t xml:space="preserve">Products Referenced by this </w:t>
      </w:r>
      <w:r w:rsidR="00501602" w:rsidRPr="00BD1CC1">
        <w:t>Document</w:t>
      </w:r>
    </w:p>
    <w:p w14:paraId="5455152B" w14:textId="14791C0D"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4A38E0">
        <w:t>Over-the-counter (</w:t>
      </w:r>
      <w:r w:rsidRPr="00BD1CC1">
        <w:t>OTC</w:t>
      </w:r>
      <w:r w:rsidR="004A38E0">
        <w:t>)</w:t>
      </w:r>
      <w:r w:rsidRPr="00BD1CC1">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252CE1" w:rsidRPr="00BD1CC1" w14:paraId="158421F8" w14:textId="77777777" w:rsidTr="002F0FB2">
        <w:trPr>
          <w:cantSplit/>
          <w:trHeight w:val="288"/>
          <w:tblHeader/>
        </w:trPr>
        <w:tc>
          <w:tcPr>
            <w:tcW w:w="538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38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2F0FB2">
        <w:trPr>
          <w:cantSplit/>
        </w:trPr>
        <w:tc>
          <w:tcPr>
            <w:tcW w:w="5385" w:type="dxa"/>
          </w:tcPr>
          <w:p w14:paraId="2D8FA8E3" w14:textId="17405F33" w:rsidR="00585FFF" w:rsidRPr="00BD1CC1" w:rsidRDefault="00133369" w:rsidP="00E82ABA">
            <w:pPr>
              <w:pStyle w:val="TableDataUnpadded"/>
            </w:pPr>
            <w:r w:rsidRPr="00133369">
              <w:t>Carbaglu</w:t>
            </w:r>
          </w:p>
        </w:tc>
        <w:tc>
          <w:tcPr>
            <w:tcW w:w="5385" w:type="dxa"/>
          </w:tcPr>
          <w:p w14:paraId="7E26A004" w14:textId="73B0661C" w:rsidR="00585FFF" w:rsidRPr="00BD1CC1" w:rsidRDefault="00133369" w:rsidP="00E82ABA">
            <w:pPr>
              <w:pStyle w:val="TableDataUnpadded"/>
            </w:pPr>
            <w:r w:rsidRPr="00133369">
              <w:t>carglumic acid</w:t>
            </w:r>
          </w:p>
        </w:tc>
      </w:tr>
    </w:tbl>
    <w:bookmarkEnd w:id="0"/>
    <w:p w14:paraId="14CE6108" w14:textId="04F2B4A1" w:rsidR="00FC1AAD" w:rsidRDefault="00ED052F" w:rsidP="00AA2A94">
      <w:pPr>
        <w:pStyle w:val="Heading2"/>
        <w:tabs>
          <w:tab w:val="left" w:pos="9540"/>
        </w:tabs>
      </w:pPr>
      <w:r>
        <w:t>Indications</w:t>
      </w:r>
    </w:p>
    <w:p w14:paraId="261BCF76" w14:textId="6EC7B45C" w:rsidR="00133369" w:rsidRPr="00133369" w:rsidRDefault="00133369" w:rsidP="00133369">
      <w:pPr>
        <w:pStyle w:val="BodyText"/>
      </w:pPr>
      <w:r w:rsidRPr="00133369">
        <w:t>The indications below including FDA-approved indications and compendial uses are considered a covered benefit provided that all the approval criteria are met and the member has no exclusions to the prescribed therapy.</w:t>
      </w:r>
    </w:p>
    <w:p w14:paraId="134B5687" w14:textId="6E0835B7" w:rsidR="00ED052F" w:rsidRPr="00BD1CC1" w:rsidRDefault="00ED052F" w:rsidP="00ED052F">
      <w:pPr>
        <w:pStyle w:val="Heading3"/>
        <w:keepNext w:val="0"/>
      </w:pPr>
      <w:r w:rsidRPr="00BD1CC1">
        <w:t>FDA-approved Indications</w:t>
      </w:r>
      <w:r w:rsidR="00133369" w:rsidRPr="00133369">
        <w:rPr>
          <w:vertAlign w:val="superscript"/>
        </w:rPr>
        <w:t>1</w:t>
      </w:r>
    </w:p>
    <w:p w14:paraId="0275AF58" w14:textId="402D0B9C" w:rsidR="00133369" w:rsidRDefault="00133369" w:rsidP="00CA21F8">
      <w:pPr>
        <w:pStyle w:val="Heading4"/>
      </w:pPr>
      <w:r>
        <w:t>Acute Hyperammonemia due to N-acetylglutamate Synthase (NAGS) Deficiency</w:t>
      </w:r>
    </w:p>
    <w:p w14:paraId="2E775214" w14:textId="64C2D470" w:rsidR="00133369" w:rsidRDefault="00133369" w:rsidP="00CA21F8">
      <w:pPr>
        <w:pStyle w:val="BodyText"/>
      </w:pPr>
      <w:r>
        <w:t>Carbaglu is indicated in pediatric and adult patients as adjunctive therapy to standard of care for the treatment of acute hyperammonemia due to N-acetylglutamate synthase (NAGS) deficiency. During acute hyperammonemic episodes, concomitant administration of Carbaglu with other ammonia lowering therapies, such as alternate pathway medications, hemodialysis, and dietary protein restriction is recommended.</w:t>
      </w:r>
    </w:p>
    <w:p w14:paraId="32949B50" w14:textId="356D9F24" w:rsidR="00133369" w:rsidRDefault="00133369" w:rsidP="00CA21F8">
      <w:pPr>
        <w:pStyle w:val="Heading4"/>
      </w:pPr>
      <w:r>
        <w:t>Chronic Hyperammonemia due to N-acetylglutamate Synthase (NAGS) Deficiency</w:t>
      </w:r>
    </w:p>
    <w:p w14:paraId="347D8772" w14:textId="4884127F" w:rsidR="00133369" w:rsidRDefault="00133369" w:rsidP="000C2181">
      <w:pPr>
        <w:pStyle w:val="BodyText"/>
      </w:pPr>
      <w:r>
        <w:t>Carbaglu is indicated in pediatric and adult patients as maintenance therapy for the treatment of chronic hyperammonemia due to NAGS deficiency. During maintenance therapy, the concomitant use of other ammonia lowering therapies and protein restriction may be needed based on plasma ammonia levels.</w:t>
      </w:r>
    </w:p>
    <w:p w14:paraId="4EC1EE0A" w14:textId="385A4F91" w:rsidR="00133369" w:rsidRPr="00AA2653" w:rsidRDefault="00133369" w:rsidP="00AA2653">
      <w:pPr>
        <w:pStyle w:val="Heading4"/>
      </w:pPr>
      <w:r w:rsidRPr="00AA2653">
        <w:lastRenderedPageBreak/>
        <w:t>Acute Hyperammonemia due to Propionic Acidemia (PA) or Methylmalonic Acidemia (MMA)</w:t>
      </w:r>
    </w:p>
    <w:p w14:paraId="2175D5D2" w14:textId="5C6100C8" w:rsidR="00133369" w:rsidRDefault="00133369" w:rsidP="00CA21F8">
      <w:pPr>
        <w:pStyle w:val="BodyText"/>
      </w:pPr>
      <w:r>
        <w:t>Carbaglu is indicated in pediatric and adult patients as adjunctive therapy to standard of care</w:t>
      </w:r>
      <w:r w:rsidR="00CA21F8">
        <w:t xml:space="preserve"> </w:t>
      </w:r>
      <w:r>
        <w:t>for the treatment of acute hyperammonemia due to PA or MMA.</w:t>
      </w:r>
    </w:p>
    <w:p w14:paraId="4C434745" w14:textId="46274BEF" w:rsidR="00ED052F" w:rsidRDefault="00133369" w:rsidP="00D3204F">
      <w:pPr>
        <w:pStyle w:val="BodyText"/>
      </w:pPr>
      <w:r>
        <w:t xml:space="preserve">All other </w:t>
      </w:r>
      <w:r w:rsidRPr="00D3204F">
        <w:t>indications</w:t>
      </w:r>
      <w:r>
        <w:t xml:space="preserve"> are considered experimental/investigational and not medically necessary</w:t>
      </w:r>
      <w:r w:rsidR="006D6440">
        <w:t>.</w:t>
      </w:r>
    </w:p>
    <w:p w14:paraId="36381B6D" w14:textId="4C019448" w:rsidR="000D2496" w:rsidRPr="00BD1CC1" w:rsidRDefault="000D2496" w:rsidP="000D2496">
      <w:pPr>
        <w:pStyle w:val="Heading2"/>
      </w:pPr>
      <w:r w:rsidRPr="00BD1CC1">
        <w:t>Documentation</w:t>
      </w:r>
    </w:p>
    <w:p w14:paraId="52CC9C96" w14:textId="5CD56050" w:rsidR="00133369" w:rsidRDefault="00133369" w:rsidP="00133369">
      <w:pPr>
        <w:pStyle w:val="BodyText"/>
        <w:spacing w:after="0"/>
      </w:pPr>
      <w:r>
        <w:t>Submission of the following information is necessary to initiate the prior authorization review</w:t>
      </w:r>
      <w:r w:rsidR="00B34A40">
        <w:t>:</w:t>
      </w:r>
    </w:p>
    <w:p w14:paraId="0E9FFC23" w14:textId="73A27016" w:rsidR="00133369" w:rsidRDefault="00133369" w:rsidP="00182A97">
      <w:pPr>
        <w:pStyle w:val="Heading3"/>
      </w:pPr>
      <w:r>
        <w:t>Initial requests:</w:t>
      </w:r>
    </w:p>
    <w:p w14:paraId="2A9895CB" w14:textId="769B05AC" w:rsidR="00133369" w:rsidRPr="00182A97" w:rsidRDefault="00133369" w:rsidP="00182A97">
      <w:pPr>
        <w:pStyle w:val="ListParagraph"/>
        <w:numPr>
          <w:ilvl w:val="0"/>
          <w:numId w:val="34"/>
        </w:numPr>
        <w:contextualSpacing w:val="0"/>
      </w:pPr>
      <w:r w:rsidRPr="00182A97">
        <w:t>Enzyme assay, biochemical</w:t>
      </w:r>
      <w:r w:rsidR="004534B6">
        <w:t>,</w:t>
      </w:r>
      <w:r w:rsidRPr="00182A97">
        <w:t xml:space="preserve"> or genetic testing results supporting diagnosis</w:t>
      </w:r>
      <w:r w:rsidR="00AB49B5">
        <w:t>.</w:t>
      </w:r>
    </w:p>
    <w:p w14:paraId="3AB766BC" w14:textId="79B3725E" w:rsidR="00133369" w:rsidRPr="00182A97" w:rsidRDefault="00133369" w:rsidP="00182A97">
      <w:pPr>
        <w:pStyle w:val="ListParagraph"/>
        <w:numPr>
          <w:ilvl w:val="0"/>
          <w:numId w:val="34"/>
        </w:numPr>
        <w:contextualSpacing w:val="0"/>
      </w:pPr>
      <w:r w:rsidRPr="00182A97">
        <w:t>Lab results documenting baseline plasma ammonia levels.</w:t>
      </w:r>
    </w:p>
    <w:p w14:paraId="74484AA1" w14:textId="1F15236F" w:rsidR="00182A97" w:rsidRDefault="00133369" w:rsidP="00182A97">
      <w:pPr>
        <w:pStyle w:val="Heading3"/>
      </w:pPr>
      <w:r>
        <w:t>Continuation of therapy requests:</w:t>
      </w:r>
    </w:p>
    <w:p w14:paraId="2180ED6E" w14:textId="6F32EE3C" w:rsidR="000D2496" w:rsidRDefault="006A0869" w:rsidP="00182A97">
      <w:pPr>
        <w:pStyle w:val="ListParagraph"/>
        <w:numPr>
          <w:ilvl w:val="0"/>
          <w:numId w:val="35"/>
        </w:numPr>
        <w:contextualSpacing w:val="0"/>
      </w:pPr>
      <w:r>
        <w:t>L</w:t>
      </w:r>
      <w:r w:rsidR="00133369">
        <w:t>ab results documenting a reduction in plasma ammonia levels from baseline.</w:t>
      </w:r>
    </w:p>
    <w:p w14:paraId="310F4FF1" w14:textId="77777777" w:rsidR="00537206" w:rsidRPr="00AA1E6A" w:rsidRDefault="00537206" w:rsidP="00537206">
      <w:pPr>
        <w:pStyle w:val="Heading2"/>
      </w:pPr>
      <w:r w:rsidRPr="00BD1CC1">
        <w:t>Prescriber Specialties</w:t>
      </w:r>
    </w:p>
    <w:p w14:paraId="785E727E" w14:textId="129717C9" w:rsidR="00537206" w:rsidRDefault="00537206" w:rsidP="00257B1E">
      <w:pPr>
        <w:pStyle w:val="BodyText"/>
      </w:pPr>
      <w:r w:rsidRPr="00BD1CC1">
        <w:t xml:space="preserve">This medication must be prescribed by or in consultation with </w:t>
      </w:r>
      <w:r w:rsidR="001D750F">
        <w:t>a physician who specializes in the treatment of enzyme or metabolic disorders</w:t>
      </w:r>
      <w:r>
        <w:t>.</w:t>
      </w:r>
    </w:p>
    <w:p w14:paraId="50A38FBA" w14:textId="4B9398EC" w:rsidR="00FE0C63" w:rsidRPr="00100B91" w:rsidRDefault="00685107" w:rsidP="00E050E1">
      <w:pPr>
        <w:pStyle w:val="Heading2"/>
      </w:pPr>
      <w:r>
        <w:t>Coverage Criteria</w:t>
      </w:r>
    </w:p>
    <w:p w14:paraId="7AA1B44D" w14:textId="245E16A4" w:rsidR="00133369" w:rsidRPr="00245DC6" w:rsidRDefault="00133369" w:rsidP="00245DC6">
      <w:pPr>
        <w:pStyle w:val="Heading3"/>
      </w:pPr>
      <w:r w:rsidRPr="00245DC6">
        <w:t>N-acetylglutamate Synthase (NAGS) Deficiency</w:t>
      </w:r>
      <w:r w:rsidRPr="000C2181">
        <w:rPr>
          <w:vertAlign w:val="superscript"/>
        </w:rPr>
        <w:t>1</w:t>
      </w:r>
      <w:r w:rsidR="0050685E">
        <w:rPr>
          <w:vertAlign w:val="superscript"/>
        </w:rPr>
        <w:t>,</w:t>
      </w:r>
      <w:r w:rsidR="000820CF">
        <w:rPr>
          <w:vertAlign w:val="superscript"/>
        </w:rPr>
        <w:t>9</w:t>
      </w:r>
    </w:p>
    <w:p w14:paraId="288ED826" w14:textId="77777777" w:rsidR="00133369" w:rsidRPr="00133369" w:rsidRDefault="00133369" w:rsidP="00E65C5A">
      <w:pPr>
        <w:pStyle w:val="BodyText"/>
      </w:pPr>
      <w:r w:rsidRPr="00133369">
        <w:t>Authorization of 12 months may be granted for members with a diagnosis of NAGS deficiency when both of the following criteria are met:</w:t>
      </w:r>
    </w:p>
    <w:p w14:paraId="0B06EC1F" w14:textId="77777777" w:rsidR="00133369" w:rsidRPr="00133369" w:rsidRDefault="00133369" w:rsidP="00E65C5A">
      <w:pPr>
        <w:pStyle w:val="ListParagraph"/>
        <w:numPr>
          <w:ilvl w:val="0"/>
          <w:numId w:val="33"/>
        </w:numPr>
        <w:ind w:left="360"/>
        <w:contextualSpacing w:val="0"/>
      </w:pPr>
      <w:r w:rsidRPr="00133369">
        <w:t>The diagnosis is confirmed by enzymatic, biochemical, or genetic testing.</w:t>
      </w:r>
    </w:p>
    <w:p w14:paraId="5AC458C1" w14:textId="20B68067" w:rsidR="00133369" w:rsidRPr="00133369" w:rsidRDefault="00133369" w:rsidP="00E65C5A">
      <w:pPr>
        <w:pStyle w:val="ListParagraph"/>
        <w:numPr>
          <w:ilvl w:val="0"/>
          <w:numId w:val="33"/>
        </w:numPr>
        <w:ind w:left="360"/>
        <w:contextualSpacing w:val="0"/>
      </w:pPr>
      <w:r w:rsidRPr="00133369">
        <w:t>The member has elevated plasma ammonia levels at baseline.</w:t>
      </w:r>
    </w:p>
    <w:p w14:paraId="398DD628" w14:textId="62076264" w:rsidR="00133369" w:rsidRPr="00245DC6" w:rsidRDefault="00133369" w:rsidP="64902298">
      <w:pPr>
        <w:pStyle w:val="Heading3"/>
        <w:rPr>
          <w:vertAlign w:val="superscript"/>
        </w:rPr>
      </w:pPr>
      <w:r>
        <w:t>Methylmalonic Acidemia</w:t>
      </w:r>
      <w:r w:rsidRPr="64902298">
        <w:rPr>
          <w:vertAlign w:val="superscript"/>
        </w:rPr>
        <w:t>1-</w:t>
      </w:r>
      <w:r w:rsidR="00382FCC" w:rsidRPr="64902298">
        <w:rPr>
          <w:vertAlign w:val="superscript"/>
        </w:rPr>
        <w:t>4</w:t>
      </w:r>
      <w:r w:rsidRPr="64902298">
        <w:rPr>
          <w:vertAlign w:val="superscript"/>
        </w:rPr>
        <w:t>,</w:t>
      </w:r>
      <w:r w:rsidR="00D3319A" w:rsidRPr="64902298">
        <w:rPr>
          <w:vertAlign w:val="superscript"/>
        </w:rPr>
        <w:t>7-9</w:t>
      </w:r>
    </w:p>
    <w:p w14:paraId="4B3F7023" w14:textId="5107BB4B" w:rsidR="00133369" w:rsidRPr="00133369" w:rsidRDefault="00133369" w:rsidP="00133369">
      <w:r>
        <w:t>Authorization of 12 months may be granted for members w</w:t>
      </w:r>
      <w:r w:rsidR="3CF340E4">
        <w:t>ith</w:t>
      </w:r>
      <w:r>
        <w:t xml:space="preserve"> a diagnosis of methylmalonic acidemia</w:t>
      </w:r>
      <w:r w:rsidR="44187D9E">
        <w:t xml:space="preserve"> when both of the following criteria are met:</w:t>
      </w:r>
    </w:p>
    <w:p w14:paraId="0D94CCD6" w14:textId="77777777" w:rsidR="473C1012" w:rsidRDefault="473C1012" w:rsidP="64902298">
      <w:pPr>
        <w:pStyle w:val="ListParagraph"/>
        <w:ind w:left="360"/>
      </w:pPr>
      <w:r>
        <w:t>The diagnosis is confirmed by enzymatic, biochemical, or genetic testing.</w:t>
      </w:r>
    </w:p>
    <w:p w14:paraId="7F465054" w14:textId="7C48E873" w:rsidR="473C1012" w:rsidRDefault="473C1012" w:rsidP="64902298">
      <w:pPr>
        <w:pStyle w:val="ListParagraph"/>
        <w:ind w:left="360"/>
      </w:pPr>
      <w:r>
        <w:t>The member has elevated plasma ammonia levels at baseline.</w:t>
      </w:r>
    </w:p>
    <w:p w14:paraId="5BBDC2DC" w14:textId="58E00296" w:rsidR="00133369" w:rsidRPr="00245DC6" w:rsidRDefault="00133369" w:rsidP="64902298">
      <w:pPr>
        <w:pStyle w:val="Heading3"/>
        <w:rPr>
          <w:vertAlign w:val="superscript"/>
        </w:rPr>
      </w:pPr>
      <w:r>
        <w:t>Propionic Acidemia</w:t>
      </w:r>
      <w:r w:rsidRPr="64902298">
        <w:rPr>
          <w:vertAlign w:val="superscript"/>
        </w:rPr>
        <w:t>1-</w:t>
      </w:r>
      <w:r w:rsidR="00D3319A" w:rsidRPr="64902298">
        <w:rPr>
          <w:vertAlign w:val="superscript"/>
        </w:rPr>
        <w:t>3</w:t>
      </w:r>
      <w:r w:rsidRPr="64902298">
        <w:rPr>
          <w:vertAlign w:val="superscript"/>
        </w:rPr>
        <w:t>,</w:t>
      </w:r>
      <w:r w:rsidR="00D3319A" w:rsidRPr="64902298">
        <w:rPr>
          <w:vertAlign w:val="superscript"/>
        </w:rPr>
        <w:t>5</w:t>
      </w:r>
      <w:r w:rsidRPr="64902298">
        <w:rPr>
          <w:vertAlign w:val="superscript"/>
        </w:rPr>
        <w:t>-9</w:t>
      </w:r>
    </w:p>
    <w:p w14:paraId="554B6E8F" w14:textId="3CFEF1DD" w:rsidR="00B836B0" w:rsidRDefault="00133369" w:rsidP="00133369">
      <w:r>
        <w:t>Authorization of 12 months may be granted for members w</w:t>
      </w:r>
      <w:r w:rsidR="789ECD87">
        <w:t>ith</w:t>
      </w:r>
      <w:r>
        <w:t xml:space="preserve"> a diagnosis of propionic acidemia</w:t>
      </w:r>
      <w:r w:rsidR="2BB991B2">
        <w:t xml:space="preserve"> when both of the following criteria are met:</w:t>
      </w:r>
    </w:p>
    <w:p w14:paraId="23D91CFC" w14:textId="77777777" w:rsidR="1317C19C" w:rsidRDefault="1317C19C" w:rsidP="64902298">
      <w:pPr>
        <w:pStyle w:val="ListParagraph"/>
        <w:ind w:left="360"/>
      </w:pPr>
      <w:r>
        <w:t>The diagnosis is confirmed by enzymatic, biochemical, or genetic testing.</w:t>
      </w:r>
    </w:p>
    <w:p w14:paraId="04A5EA4F" w14:textId="378F4FB3" w:rsidR="1317C19C" w:rsidRDefault="1317C19C" w:rsidP="64902298">
      <w:pPr>
        <w:pStyle w:val="ListParagraph"/>
        <w:ind w:left="360"/>
      </w:pPr>
      <w:r>
        <w:t>The member has elevated plasma ammonia levels at baseline.</w:t>
      </w:r>
    </w:p>
    <w:p w14:paraId="3A643EC3" w14:textId="76191DF6" w:rsidR="00A501AC" w:rsidRPr="00BD1CC1" w:rsidRDefault="00A501AC" w:rsidP="00A501AC">
      <w:pPr>
        <w:pStyle w:val="Heading2"/>
      </w:pPr>
      <w:r w:rsidRPr="00BD1CC1">
        <w:t>Continuation of Therapy</w:t>
      </w:r>
    </w:p>
    <w:p w14:paraId="783A318E" w14:textId="7E150E2F" w:rsidR="00133369" w:rsidRPr="00245DC6" w:rsidRDefault="00133369" w:rsidP="00245DC6">
      <w:pPr>
        <w:pStyle w:val="Heading3"/>
      </w:pPr>
      <w:r>
        <w:t>N-acetylglutamate Synthase (NAGS) Deficiency</w:t>
      </w:r>
      <w:r w:rsidR="239A316D">
        <w:t>, Methylmalonic Acidemia, or Propionic Acidemia</w:t>
      </w:r>
    </w:p>
    <w:p w14:paraId="7482A3AE" w14:textId="489AFC6A" w:rsidR="00133369" w:rsidRDefault="00133369" w:rsidP="00133369">
      <w:pPr>
        <w:pStyle w:val="BodyText"/>
      </w:pPr>
      <w:r>
        <w:t>Authorization of 12 months may be granted for continued treatment in members requesting reauthorization for NAGS deficiency</w:t>
      </w:r>
      <w:r w:rsidR="307624B6">
        <w:t>, methylmalonic acidemia, or propionic acidemia</w:t>
      </w:r>
      <w:r>
        <w:t xml:space="preserve"> who are experiencing benefit from therapy as evidenced by a decrease in ammonia levels from baseline</w:t>
      </w:r>
      <w:r w:rsidR="39918C84">
        <w:t xml:space="preserve"> and disease stability or disease improvement</w:t>
      </w:r>
      <w:r>
        <w:t>.</w:t>
      </w:r>
    </w:p>
    <w:p w14:paraId="10DA4309" w14:textId="47FB5A22" w:rsidR="00FF66BF" w:rsidRPr="008D1B34" w:rsidRDefault="00FF66BF" w:rsidP="00FF66BF">
      <w:pPr>
        <w:pStyle w:val="Heading2"/>
      </w:pPr>
      <w:r w:rsidRPr="008D1B34">
        <w:t>References</w:t>
      </w:r>
    </w:p>
    <w:p w14:paraId="3B1C7349" w14:textId="0A2D403B" w:rsidR="001A10F5" w:rsidRDefault="001A10F5" w:rsidP="00450288">
      <w:pPr>
        <w:pStyle w:val="ReferenceOrdered"/>
      </w:pPr>
      <w:r>
        <w:t xml:space="preserve">Carbaglu [package insert]. Lebanon, NJ: Recordati Rare Diseases, Inc.; </w:t>
      </w:r>
      <w:r w:rsidR="00643135">
        <w:t xml:space="preserve">January </w:t>
      </w:r>
      <w:r>
        <w:t>202</w:t>
      </w:r>
      <w:r w:rsidR="00643135">
        <w:t>4</w:t>
      </w:r>
      <w:r>
        <w:t>.</w:t>
      </w:r>
    </w:p>
    <w:p w14:paraId="4D7F8D9D" w14:textId="77777777" w:rsidR="001A10F5" w:rsidRDefault="001A10F5" w:rsidP="001A10F5">
      <w:pPr>
        <w:pStyle w:val="ReferenceOrdered"/>
      </w:pPr>
      <w:r w:rsidRPr="005E2B8B">
        <w:rPr>
          <w:lang w:val="it-IT"/>
        </w:rPr>
        <w:t xml:space="preserve">Filippi L, Gozzini E, Fiorini P, et al. </w:t>
      </w:r>
      <w:r>
        <w:t>N-</w:t>
      </w:r>
      <w:proofErr w:type="spellStart"/>
      <w:r>
        <w:t>carbamylglutamate</w:t>
      </w:r>
      <w:proofErr w:type="spellEnd"/>
      <w:r>
        <w:t xml:space="preserve"> in emergency management of hyperammonemia in neonatal acute onset propionic and methylmalonic aciduria. </w:t>
      </w:r>
      <w:r w:rsidRPr="00372EEB">
        <w:rPr>
          <w:i/>
          <w:iCs/>
        </w:rPr>
        <w:t>Neonatology.</w:t>
      </w:r>
      <w:r>
        <w:t xml:space="preserve"> 2010;97(3):286-290.</w:t>
      </w:r>
    </w:p>
    <w:p w14:paraId="31688E90" w14:textId="77777777" w:rsidR="001A10F5" w:rsidRDefault="001A10F5" w:rsidP="001A10F5">
      <w:pPr>
        <w:pStyle w:val="ReferenceOrdered"/>
      </w:pPr>
      <w:proofErr w:type="spellStart"/>
      <w:r w:rsidRPr="005E2B8B">
        <w:rPr>
          <w:lang w:val="fr-FR"/>
        </w:rPr>
        <w:t>Levrat</w:t>
      </w:r>
      <w:proofErr w:type="spellEnd"/>
      <w:r w:rsidRPr="005E2B8B">
        <w:rPr>
          <w:lang w:val="fr-FR"/>
        </w:rPr>
        <w:t xml:space="preserve"> V, Forest I, </w:t>
      </w:r>
      <w:proofErr w:type="spellStart"/>
      <w:r w:rsidRPr="005E2B8B">
        <w:rPr>
          <w:lang w:val="fr-FR"/>
        </w:rPr>
        <w:t>Fouilhoux</w:t>
      </w:r>
      <w:proofErr w:type="spellEnd"/>
      <w:r w:rsidRPr="005E2B8B">
        <w:rPr>
          <w:lang w:val="fr-FR"/>
        </w:rPr>
        <w:t xml:space="preserve"> A, et al. </w:t>
      </w:r>
      <w:r>
        <w:t xml:space="preserve">Carglumic acid: an additional therapy in the treatment of organic acidurias with hyperammonemia. </w:t>
      </w:r>
      <w:r w:rsidRPr="00C65374">
        <w:rPr>
          <w:i/>
          <w:iCs/>
        </w:rPr>
        <w:t xml:space="preserve">Orphanet </w:t>
      </w:r>
      <w:r>
        <w:t>J Rare Dis. 2008;3:2.</w:t>
      </w:r>
    </w:p>
    <w:p w14:paraId="1331EB94" w14:textId="77777777" w:rsidR="001A10F5" w:rsidRDefault="001A10F5" w:rsidP="001A10F5">
      <w:pPr>
        <w:pStyle w:val="ReferenceOrdered"/>
      </w:pPr>
      <w:r w:rsidRPr="005E2B8B">
        <w:rPr>
          <w:lang w:val="nl-BE"/>
        </w:rPr>
        <w:t>Gebhardt B, Vlaho S, Fischer D, et al. N-carbamylglutamate enhances ammonia detoxification in a patient with decompensated methylmalonic aciduria</w:t>
      </w:r>
      <w:r w:rsidRPr="00A10FC8">
        <w:rPr>
          <w:i/>
          <w:iCs/>
          <w:lang w:val="nl-BE"/>
        </w:rPr>
        <w:t xml:space="preserve">. </w:t>
      </w:r>
      <w:r w:rsidRPr="00A10FC8">
        <w:rPr>
          <w:i/>
          <w:iCs/>
        </w:rPr>
        <w:t>Mol Genet Metab.</w:t>
      </w:r>
      <w:r>
        <w:t xml:space="preserve"> 2003:79(4):303-304.</w:t>
      </w:r>
    </w:p>
    <w:p w14:paraId="7D274841" w14:textId="77777777" w:rsidR="001A10F5" w:rsidRDefault="001A10F5" w:rsidP="001A10F5">
      <w:pPr>
        <w:pStyle w:val="ReferenceOrdered"/>
      </w:pPr>
      <w:r w:rsidRPr="005E2B8B">
        <w:rPr>
          <w:lang w:val="nl-BE"/>
        </w:rPr>
        <w:t xml:space="preserve">Gebhardt B, Dittrich S, Parbel S, et al. N-carbamylglutamate protects patients with decompensated propionic aciduria from hyperammonaemia. </w:t>
      </w:r>
      <w:r w:rsidRPr="0090467B">
        <w:rPr>
          <w:i/>
          <w:iCs/>
        </w:rPr>
        <w:t xml:space="preserve">J </w:t>
      </w:r>
      <w:proofErr w:type="spellStart"/>
      <w:r w:rsidRPr="0090467B">
        <w:rPr>
          <w:i/>
          <w:iCs/>
        </w:rPr>
        <w:t>Interit</w:t>
      </w:r>
      <w:proofErr w:type="spellEnd"/>
      <w:r w:rsidRPr="0090467B">
        <w:rPr>
          <w:i/>
          <w:iCs/>
        </w:rPr>
        <w:t xml:space="preserve"> Metab Dis</w:t>
      </w:r>
      <w:r>
        <w:t>. 2005;28(2):241-244.</w:t>
      </w:r>
    </w:p>
    <w:p w14:paraId="670BEE5B" w14:textId="77777777" w:rsidR="001A10F5" w:rsidRDefault="001A10F5" w:rsidP="001A10F5">
      <w:pPr>
        <w:pStyle w:val="ReferenceOrdered"/>
      </w:pPr>
      <w:r w:rsidRPr="005E2B8B">
        <w:rPr>
          <w:lang w:val="de-AT"/>
        </w:rPr>
        <w:t xml:space="preserve">Schwahn BC, Pleterse L, Bisset WM, et al. Biochemical efficacy of N-carbamylglutamate in neonatal severe hyperammonaemia due to propionic acidaemia. </w:t>
      </w:r>
      <w:r w:rsidRPr="0047144C">
        <w:rPr>
          <w:i/>
          <w:iCs/>
        </w:rPr>
        <w:t xml:space="preserve">Eur J </w:t>
      </w:r>
      <w:proofErr w:type="spellStart"/>
      <w:r w:rsidRPr="0047144C">
        <w:rPr>
          <w:i/>
          <w:iCs/>
        </w:rPr>
        <w:t>Pediatr</w:t>
      </w:r>
      <w:proofErr w:type="spellEnd"/>
      <w:r w:rsidRPr="0047144C">
        <w:rPr>
          <w:i/>
          <w:iCs/>
        </w:rPr>
        <w:t>.</w:t>
      </w:r>
      <w:r>
        <w:t xml:space="preserve"> 2010;169(1):133-134.</w:t>
      </w:r>
    </w:p>
    <w:p w14:paraId="2123AF56" w14:textId="77777777" w:rsidR="00245DC6" w:rsidRDefault="00245DC6" w:rsidP="00245DC6">
      <w:pPr>
        <w:pStyle w:val="ReferenceOrdered"/>
      </w:pPr>
      <w:r w:rsidRPr="00604DC1">
        <w:rPr>
          <w:lang w:val="pt-BR"/>
        </w:rPr>
        <w:t xml:space="preserve">Valayannopoulos V, Baruteau J, Delgado MB, et. al. </w:t>
      </w:r>
      <w:r>
        <w:t xml:space="preserve">Carglumic acid enhances rapid ammonia detoxification in classical organic acidurias with a </w:t>
      </w:r>
      <w:proofErr w:type="spellStart"/>
      <w:r>
        <w:t>favourable</w:t>
      </w:r>
      <w:proofErr w:type="spellEnd"/>
      <w:r>
        <w:t xml:space="preserve"> risk-benefit profile: a retrospective observational study. </w:t>
      </w:r>
      <w:r w:rsidRPr="00C93164">
        <w:rPr>
          <w:i/>
          <w:iCs/>
        </w:rPr>
        <w:t>Orphanet J</w:t>
      </w:r>
      <w:r w:rsidRPr="00454182">
        <w:rPr>
          <w:i/>
          <w:iCs/>
        </w:rPr>
        <w:t xml:space="preserve"> Rare Dis.</w:t>
      </w:r>
      <w:r>
        <w:t xml:space="preserve"> 2016;11:32.</w:t>
      </w:r>
    </w:p>
    <w:p w14:paraId="2E245261" w14:textId="16FC01E6" w:rsidR="001A10F5" w:rsidRDefault="001A10F5" w:rsidP="001A10F5">
      <w:pPr>
        <w:pStyle w:val="ReferenceOrdered"/>
      </w:pPr>
      <w:r>
        <w:t xml:space="preserve">Baumgartner MR, </w:t>
      </w:r>
      <w:proofErr w:type="spellStart"/>
      <w:r>
        <w:t>Hörster</w:t>
      </w:r>
      <w:proofErr w:type="spellEnd"/>
      <w:r>
        <w:t xml:space="preserve"> F, Dionisi-Vici C, et. al. Proposed guidelines for the diagnosis and management of methylmalonic and propionic acidemia. Orphanet J Rare Dis. 2014; 9:130.</w:t>
      </w:r>
    </w:p>
    <w:p w14:paraId="47E1A10C" w14:textId="3B10B464" w:rsidR="00C44990" w:rsidRPr="00DB655F" w:rsidRDefault="001A10F5" w:rsidP="00973C4B">
      <w:pPr>
        <w:pStyle w:val="ReferenceOrdered"/>
      </w:pPr>
      <w:r>
        <w:t xml:space="preserve">carglumic acid [package insert]. Deer Park, IL; Eton Pharmaceuticals, Inc.; </w:t>
      </w:r>
      <w:r w:rsidR="002C3CC3">
        <w:t xml:space="preserve">January </w:t>
      </w:r>
      <w:r>
        <w:t>202</w:t>
      </w:r>
      <w:r w:rsidR="002C3CC3">
        <w:t>4</w:t>
      </w:r>
      <w:r w:rsidR="00FF66BF" w:rsidRPr="00BD1CC1">
        <w:t>.</w:t>
      </w:r>
    </w:p>
    <w:sectPr w:rsidR="00C44990" w:rsidRPr="00DB655F" w:rsidSect="00104C1C">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D4033" w14:textId="77777777" w:rsidR="00DB0AFE" w:rsidRDefault="00DB0AFE">
      <w:r>
        <w:separator/>
      </w:r>
    </w:p>
  </w:endnote>
  <w:endnote w:type="continuationSeparator" w:id="0">
    <w:p w14:paraId="5D7AB2BC" w14:textId="77777777" w:rsidR="00DB0AFE" w:rsidRDefault="00DB0AFE">
      <w:r>
        <w:continuationSeparator/>
      </w:r>
    </w:p>
  </w:endnote>
  <w:endnote w:type="continuationNotice" w:id="1">
    <w:p w14:paraId="59047BBB" w14:textId="77777777" w:rsidR="00DB0AFE" w:rsidRDefault="00DB0A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464A5D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04C1C" w:rsidRPr="00104C1C">
      <w:rPr>
        <w:rFonts w:cs="Arial"/>
        <w:noProof/>
        <w:sz w:val="16"/>
        <w:szCs w:val="16"/>
      </w:rPr>
      <w:t>carglumic</w:t>
    </w:r>
    <w:r w:rsidR="00104C1C">
      <w:rPr>
        <w:rFonts w:cs="Arial"/>
        <w:noProof/>
        <w:snapToGrid w:val="0"/>
        <w:color w:val="000000"/>
        <w:sz w:val="16"/>
        <w:szCs w:val="16"/>
      </w:rPr>
      <w:t xml:space="preserve"> acid-Carbaglu SGM</w:t>
    </w:r>
    <w:r w:rsidR="00104C1C" w:rsidRPr="00104C1C">
      <w:rPr>
        <w:rFonts w:cs="Arial"/>
        <w:noProof/>
        <w:sz w:val="16"/>
        <w:szCs w:val="16"/>
      </w:rPr>
      <w:t xml:space="preserve"> 2122-A</w:t>
    </w:r>
    <w:r w:rsidR="00104C1C">
      <w:rPr>
        <w:rFonts w:cs="Arial"/>
        <w:noProof/>
        <w:snapToGrid w:val="0"/>
        <w:color w:val="000000"/>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163325">
      <w:rPr>
        <w:rFonts w:cs="Arial"/>
        <w:snapToGrid w:val="0"/>
        <w:color w:val="000000"/>
        <w:sz w:val="16"/>
      </w:rPr>
      <w:t>5</w:t>
    </w:r>
    <w:r w:rsidRPr="00EC47B6">
      <w:rPr>
        <w:rFonts w:cs="Arial"/>
        <w:snapToGrid w:val="0"/>
        <w:color w:val="000000"/>
        <w:sz w:val="16"/>
      </w:rPr>
      <w:t xml:space="preserve"> CVS Caremark. All rights reserved.</w:t>
    </w:r>
  </w:p>
  <w:p w14:paraId="61CF5924" w14:textId="4EDE1E16"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925735E" w:rsidR="00F75C81" w:rsidRPr="00AA1E6A" w:rsidRDefault="00C36B72" w:rsidP="00973C4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7EEECB9"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04C1C" w:rsidRPr="00104C1C">
      <w:rPr>
        <w:rFonts w:cs="Arial"/>
        <w:noProof/>
        <w:sz w:val="16"/>
        <w:szCs w:val="16"/>
      </w:rPr>
      <w:t>carglumic</w:t>
    </w:r>
    <w:r w:rsidR="00104C1C">
      <w:rPr>
        <w:rFonts w:cs="Arial"/>
        <w:noProof/>
        <w:snapToGrid w:val="0"/>
        <w:color w:val="000000"/>
        <w:sz w:val="16"/>
        <w:szCs w:val="16"/>
      </w:rPr>
      <w:t xml:space="preserve"> acid-Carbaglu SGM</w:t>
    </w:r>
    <w:r w:rsidR="00104C1C" w:rsidRPr="00104C1C">
      <w:rPr>
        <w:rFonts w:cs="Arial"/>
        <w:noProof/>
        <w:sz w:val="16"/>
        <w:szCs w:val="16"/>
      </w:rPr>
      <w:t xml:space="preserve"> 2122-A</w:t>
    </w:r>
    <w:r w:rsidR="00104C1C">
      <w:rPr>
        <w:rFonts w:cs="Arial"/>
        <w:noProof/>
        <w:snapToGrid w:val="0"/>
        <w:color w:val="000000"/>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163325">
      <w:rPr>
        <w:rFonts w:cs="Arial"/>
        <w:snapToGrid w:val="0"/>
        <w:color w:val="000000"/>
        <w:sz w:val="16"/>
      </w:rPr>
      <w:t>5</w:t>
    </w:r>
    <w:r w:rsidRPr="00EC47B6">
      <w:rPr>
        <w:rFonts w:cs="Arial"/>
        <w:snapToGrid w:val="0"/>
        <w:color w:val="000000"/>
        <w:sz w:val="16"/>
      </w:rPr>
      <w:t xml:space="preserve"> CVS Caremark. All rights reserved.</w:t>
    </w:r>
  </w:p>
  <w:p w14:paraId="39BFE579" w14:textId="7BA04759"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405E05A" w:rsidR="00ED04EC" w:rsidRPr="00F50D98" w:rsidRDefault="00F50D98" w:rsidP="00973C4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3A5C5" w14:textId="0338C1CF" w:rsidR="000C2181" w:rsidRPr="000C2181" w:rsidRDefault="000C2181" w:rsidP="000C21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ED3A6" w14:textId="77777777" w:rsidR="00DB0AFE" w:rsidRDefault="00DB0AFE">
      <w:r>
        <w:separator/>
      </w:r>
    </w:p>
  </w:footnote>
  <w:footnote w:type="continuationSeparator" w:id="0">
    <w:p w14:paraId="201A2D50" w14:textId="77777777" w:rsidR="00DB0AFE" w:rsidRDefault="00DB0AFE">
      <w:r>
        <w:continuationSeparator/>
      </w:r>
    </w:p>
  </w:footnote>
  <w:footnote w:type="continuationNotice" w:id="1">
    <w:p w14:paraId="3A0AED45" w14:textId="77777777" w:rsidR="00DB0AFE" w:rsidRDefault="00DB0A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69056C" w:rsidRDefault="00ED04EC" w:rsidP="0069056C">
          <w:pPr>
            <w:pStyle w:val="RefTableData"/>
          </w:pPr>
          <w:r w:rsidRPr="0069056C">
            <w:t>Reference number(s)</w:t>
          </w:r>
        </w:p>
      </w:tc>
    </w:tr>
    <w:tr w:rsidR="00ED04EC" w:rsidRPr="00ED04EC" w14:paraId="703C6588" w14:textId="77777777" w:rsidTr="0006569F">
      <w:trPr>
        <w:trHeight w:val="378"/>
        <w:jc w:val="right"/>
      </w:trPr>
      <w:tc>
        <w:tcPr>
          <w:tcW w:w="1854" w:type="dxa"/>
          <w:hideMark/>
        </w:tcPr>
        <w:p w14:paraId="51CE3E64" w14:textId="7FF36766" w:rsidR="00ED04EC" w:rsidRPr="0069056C" w:rsidRDefault="00FD03FB" w:rsidP="0069056C">
          <w:pPr>
            <w:pStyle w:val="RefTableData"/>
          </w:pPr>
          <w:r w:rsidRPr="0069056C">
            <w:t>2122-A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7F68FA" w:rsidRPr="00ED04EC" w14:paraId="5F3A29ED" w14:textId="77777777" w:rsidTr="0039427D">
      <w:trPr>
        <w:trHeight w:val="144"/>
        <w:jc w:val="right"/>
      </w:trPr>
      <w:tc>
        <w:tcPr>
          <w:tcW w:w="1854" w:type="dxa"/>
          <w:hideMark/>
        </w:tcPr>
        <w:p w14:paraId="4BF709A7" w14:textId="77777777" w:rsidR="007F68FA" w:rsidRPr="0069056C" w:rsidRDefault="007F68FA" w:rsidP="007F68FA">
          <w:pPr>
            <w:pStyle w:val="RefTableData"/>
          </w:pPr>
          <w:r w:rsidRPr="0069056C">
            <w:t>Reference number(s)</w:t>
          </w:r>
        </w:p>
      </w:tc>
    </w:tr>
    <w:tr w:rsidR="007F68FA" w:rsidRPr="00ED04EC" w14:paraId="7865617D" w14:textId="77777777" w:rsidTr="0039427D">
      <w:trPr>
        <w:trHeight w:val="378"/>
        <w:jc w:val="right"/>
      </w:trPr>
      <w:tc>
        <w:tcPr>
          <w:tcW w:w="1854" w:type="dxa"/>
          <w:hideMark/>
        </w:tcPr>
        <w:p w14:paraId="55675644" w14:textId="77777777" w:rsidR="007F68FA" w:rsidRPr="0069056C" w:rsidRDefault="007F68FA" w:rsidP="007F68FA">
          <w:pPr>
            <w:pStyle w:val="RefTableData"/>
          </w:pPr>
          <w:r w:rsidRPr="0069056C">
            <w:t>2122-A</w:t>
          </w:r>
        </w:p>
      </w:tc>
    </w:tr>
  </w:tbl>
  <w:p w14:paraId="04BC6EE5" w14:textId="77777777" w:rsidR="007F68FA" w:rsidRPr="007F68FA" w:rsidRDefault="007F68FA">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EB4525"/>
    <w:multiLevelType w:val="hybridMultilevel"/>
    <w:tmpl w:val="51A46EAC"/>
    <w:lvl w:ilvl="0" w:tplc="040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7A1DAE"/>
    <w:multiLevelType w:val="hybridMultilevel"/>
    <w:tmpl w:val="ABEC0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9A22106"/>
    <w:multiLevelType w:val="hybridMultilevel"/>
    <w:tmpl w:val="3AB0D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7F18B5"/>
    <w:multiLevelType w:val="hybridMultilevel"/>
    <w:tmpl w:val="4072B9F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AB26AC"/>
    <w:multiLevelType w:val="hybridMultilevel"/>
    <w:tmpl w:val="92F07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A464F3"/>
    <w:multiLevelType w:val="multilevel"/>
    <w:tmpl w:val="0F941D36"/>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287ECF"/>
    <w:multiLevelType w:val="hybridMultilevel"/>
    <w:tmpl w:val="3B02064E"/>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AA0562"/>
    <w:multiLevelType w:val="hybridMultilevel"/>
    <w:tmpl w:val="3B0EE5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0"/>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0"/>
  </w:num>
  <w:num w:numId="17" w16cid:durableId="2128498676">
    <w:abstractNumId w:val="33"/>
  </w:num>
  <w:num w:numId="18" w16cid:durableId="299724409">
    <w:abstractNumId w:val="27"/>
  </w:num>
  <w:num w:numId="19" w16cid:durableId="214585573">
    <w:abstractNumId w:val="16"/>
  </w:num>
  <w:num w:numId="20" w16cid:durableId="1289816170">
    <w:abstractNumId w:val="17"/>
  </w:num>
  <w:num w:numId="21" w16cid:durableId="1066490929">
    <w:abstractNumId w:val="34"/>
  </w:num>
  <w:num w:numId="22" w16cid:durableId="1472481103">
    <w:abstractNumId w:val="29"/>
  </w:num>
  <w:num w:numId="23" w16cid:durableId="1997420403">
    <w:abstractNumId w:val="31"/>
  </w:num>
  <w:num w:numId="24" w16cid:durableId="33312838">
    <w:abstractNumId w:val="28"/>
  </w:num>
  <w:num w:numId="25" w16cid:durableId="507404939">
    <w:abstractNumId w:val="18"/>
  </w:num>
  <w:num w:numId="26" w16cid:durableId="1950313333">
    <w:abstractNumId w:val="23"/>
  </w:num>
  <w:num w:numId="27" w16cid:durableId="1866016584">
    <w:abstractNumId w:val="21"/>
  </w:num>
  <w:num w:numId="28" w16cid:durableId="636690941">
    <w:abstractNumId w:val="15"/>
  </w:num>
  <w:num w:numId="29" w16cid:durableId="2128623402">
    <w:abstractNumId w:val="24"/>
  </w:num>
  <w:num w:numId="30" w16cid:durableId="96603125">
    <w:abstractNumId w:val="32"/>
  </w:num>
  <w:num w:numId="31" w16cid:durableId="1320883625">
    <w:abstractNumId w:val="10"/>
  </w:num>
  <w:num w:numId="32" w16cid:durableId="1744642911">
    <w:abstractNumId w:val="19"/>
  </w:num>
  <w:num w:numId="33" w16cid:durableId="796024888">
    <w:abstractNumId w:val="26"/>
  </w:num>
  <w:num w:numId="34" w16cid:durableId="1959214492">
    <w:abstractNumId w:val="22"/>
  </w:num>
  <w:num w:numId="35" w16cid:durableId="201864168">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0CF"/>
    <w:rsid w:val="00082357"/>
    <w:rsid w:val="00082825"/>
    <w:rsid w:val="00082CE9"/>
    <w:rsid w:val="000837A5"/>
    <w:rsid w:val="00083890"/>
    <w:rsid w:val="00083E63"/>
    <w:rsid w:val="00083FC9"/>
    <w:rsid w:val="00084D70"/>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0FDD"/>
    <w:rsid w:val="000B104D"/>
    <w:rsid w:val="000B1961"/>
    <w:rsid w:val="000B20CD"/>
    <w:rsid w:val="000B40A1"/>
    <w:rsid w:val="000B501F"/>
    <w:rsid w:val="000B57DC"/>
    <w:rsid w:val="000B5871"/>
    <w:rsid w:val="000B5E31"/>
    <w:rsid w:val="000B6086"/>
    <w:rsid w:val="000B61D7"/>
    <w:rsid w:val="000B7167"/>
    <w:rsid w:val="000B71C5"/>
    <w:rsid w:val="000B7827"/>
    <w:rsid w:val="000B7CFC"/>
    <w:rsid w:val="000C1120"/>
    <w:rsid w:val="000C1550"/>
    <w:rsid w:val="000C2181"/>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4C1C"/>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3369"/>
    <w:rsid w:val="001344B1"/>
    <w:rsid w:val="00134671"/>
    <w:rsid w:val="0013477B"/>
    <w:rsid w:val="0013503B"/>
    <w:rsid w:val="001356EF"/>
    <w:rsid w:val="00136BE6"/>
    <w:rsid w:val="001370F9"/>
    <w:rsid w:val="00137657"/>
    <w:rsid w:val="00137956"/>
    <w:rsid w:val="00137C7B"/>
    <w:rsid w:val="00140B8C"/>
    <w:rsid w:val="00140ED6"/>
    <w:rsid w:val="00143ACA"/>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3325"/>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A97"/>
    <w:rsid w:val="00182BBD"/>
    <w:rsid w:val="00182C96"/>
    <w:rsid w:val="001837BD"/>
    <w:rsid w:val="00183AEC"/>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10F5"/>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D750F"/>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4CEE"/>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534D"/>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5DC6"/>
    <w:rsid w:val="002504F9"/>
    <w:rsid w:val="00250C39"/>
    <w:rsid w:val="00250E25"/>
    <w:rsid w:val="00251EE2"/>
    <w:rsid w:val="00252CE1"/>
    <w:rsid w:val="0025338B"/>
    <w:rsid w:val="0025395A"/>
    <w:rsid w:val="00254313"/>
    <w:rsid w:val="00254CF2"/>
    <w:rsid w:val="0025520A"/>
    <w:rsid w:val="002556AB"/>
    <w:rsid w:val="00255903"/>
    <w:rsid w:val="002568ED"/>
    <w:rsid w:val="00257B1E"/>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3CC3"/>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08"/>
    <w:rsid w:val="002E3D87"/>
    <w:rsid w:val="002E5C63"/>
    <w:rsid w:val="002E6AE1"/>
    <w:rsid w:val="002E7264"/>
    <w:rsid w:val="002F0FB2"/>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376B5"/>
    <w:rsid w:val="0034083D"/>
    <w:rsid w:val="003409BE"/>
    <w:rsid w:val="00340B83"/>
    <w:rsid w:val="00341929"/>
    <w:rsid w:val="00341F47"/>
    <w:rsid w:val="00342365"/>
    <w:rsid w:val="00343BE2"/>
    <w:rsid w:val="00343E90"/>
    <w:rsid w:val="00344D29"/>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5FD1"/>
    <w:rsid w:val="003664C9"/>
    <w:rsid w:val="00366871"/>
    <w:rsid w:val="00367117"/>
    <w:rsid w:val="00367AE6"/>
    <w:rsid w:val="0037016F"/>
    <w:rsid w:val="00370374"/>
    <w:rsid w:val="00371901"/>
    <w:rsid w:val="00372A21"/>
    <w:rsid w:val="00372EEB"/>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2FCC"/>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77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275"/>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74B"/>
    <w:rsid w:val="00445F97"/>
    <w:rsid w:val="00446742"/>
    <w:rsid w:val="00446920"/>
    <w:rsid w:val="00446A96"/>
    <w:rsid w:val="00446C00"/>
    <w:rsid w:val="004474C1"/>
    <w:rsid w:val="0044763A"/>
    <w:rsid w:val="00447E12"/>
    <w:rsid w:val="00450288"/>
    <w:rsid w:val="004507D8"/>
    <w:rsid w:val="00451431"/>
    <w:rsid w:val="004516EC"/>
    <w:rsid w:val="00452B20"/>
    <w:rsid w:val="004534B6"/>
    <w:rsid w:val="00453D7B"/>
    <w:rsid w:val="00454182"/>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44C"/>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69"/>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8E0"/>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D0C"/>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D757A"/>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0685E"/>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206"/>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A7FC3"/>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2D98"/>
    <w:rsid w:val="005C3B4F"/>
    <w:rsid w:val="005C44D1"/>
    <w:rsid w:val="005C52A6"/>
    <w:rsid w:val="005C6812"/>
    <w:rsid w:val="005C6D2C"/>
    <w:rsid w:val="005C778C"/>
    <w:rsid w:val="005C7C41"/>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2B8B"/>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4DC1"/>
    <w:rsid w:val="00606DBB"/>
    <w:rsid w:val="006077A7"/>
    <w:rsid w:val="00607959"/>
    <w:rsid w:val="0060798E"/>
    <w:rsid w:val="00607FA5"/>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6E0D"/>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135"/>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56C"/>
    <w:rsid w:val="006909A7"/>
    <w:rsid w:val="006913AD"/>
    <w:rsid w:val="006917AF"/>
    <w:rsid w:val="006919C1"/>
    <w:rsid w:val="0069283D"/>
    <w:rsid w:val="00692A50"/>
    <w:rsid w:val="00693783"/>
    <w:rsid w:val="00693B34"/>
    <w:rsid w:val="00694B18"/>
    <w:rsid w:val="00694B30"/>
    <w:rsid w:val="00694B8A"/>
    <w:rsid w:val="00694C2D"/>
    <w:rsid w:val="00696693"/>
    <w:rsid w:val="00697304"/>
    <w:rsid w:val="006A0869"/>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440"/>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5B0"/>
    <w:rsid w:val="007B1B32"/>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6FB"/>
    <w:rsid w:val="007F280C"/>
    <w:rsid w:val="007F2FAC"/>
    <w:rsid w:val="007F349F"/>
    <w:rsid w:val="007F475E"/>
    <w:rsid w:val="007F5BA5"/>
    <w:rsid w:val="007F6891"/>
    <w:rsid w:val="007F68FA"/>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67839"/>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011"/>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3140"/>
    <w:rsid w:val="008F4B96"/>
    <w:rsid w:val="008F53E8"/>
    <w:rsid w:val="008F58D0"/>
    <w:rsid w:val="008F5F59"/>
    <w:rsid w:val="008F640B"/>
    <w:rsid w:val="008F79F2"/>
    <w:rsid w:val="008F7B57"/>
    <w:rsid w:val="0090242B"/>
    <w:rsid w:val="00903866"/>
    <w:rsid w:val="0090467B"/>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3C4B"/>
    <w:rsid w:val="00974ED3"/>
    <w:rsid w:val="0097583A"/>
    <w:rsid w:val="00975E36"/>
    <w:rsid w:val="009767B4"/>
    <w:rsid w:val="00976A11"/>
    <w:rsid w:val="00977BCF"/>
    <w:rsid w:val="00977F49"/>
    <w:rsid w:val="009817FD"/>
    <w:rsid w:val="00981EDA"/>
    <w:rsid w:val="00982365"/>
    <w:rsid w:val="009839BA"/>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458F"/>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0FC8"/>
    <w:rsid w:val="00A11268"/>
    <w:rsid w:val="00A1225D"/>
    <w:rsid w:val="00A12465"/>
    <w:rsid w:val="00A12A59"/>
    <w:rsid w:val="00A1366E"/>
    <w:rsid w:val="00A13BF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653"/>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49B5"/>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4C90"/>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A40"/>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5D8"/>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4675"/>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0ED6"/>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393"/>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0851"/>
    <w:rsid w:val="00C511E1"/>
    <w:rsid w:val="00C51255"/>
    <w:rsid w:val="00C52389"/>
    <w:rsid w:val="00C53013"/>
    <w:rsid w:val="00C53D02"/>
    <w:rsid w:val="00C54C13"/>
    <w:rsid w:val="00C54D4A"/>
    <w:rsid w:val="00C54DF5"/>
    <w:rsid w:val="00C54E36"/>
    <w:rsid w:val="00C54E64"/>
    <w:rsid w:val="00C550BC"/>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374"/>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164"/>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1F8"/>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26CBC"/>
    <w:rsid w:val="00D271C2"/>
    <w:rsid w:val="00D30248"/>
    <w:rsid w:val="00D30A4B"/>
    <w:rsid w:val="00D314DB"/>
    <w:rsid w:val="00D31A54"/>
    <w:rsid w:val="00D3204F"/>
    <w:rsid w:val="00D32E0D"/>
    <w:rsid w:val="00D3319A"/>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0AFE"/>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5F"/>
    <w:rsid w:val="00DB657E"/>
    <w:rsid w:val="00DB793D"/>
    <w:rsid w:val="00DC1591"/>
    <w:rsid w:val="00DC2163"/>
    <w:rsid w:val="00DC2997"/>
    <w:rsid w:val="00DC3267"/>
    <w:rsid w:val="00DC34C2"/>
    <w:rsid w:val="00DC3E15"/>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2A5A"/>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5A"/>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777"/>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4A5"/>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5D73"/>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2E88"/>
    <w:rsid w:val="00FC385D"/>
    <w:rsid w:val="00FC5D44"/>
    <w:rsid w:val="00FC6576"/>
    <w:rsid w:val="00FC740F"/>
    <w:rsid w:val="00FC7852"/>
    <w:rsid w:val="00FC7867"/>
    <w:rsid w:val="00FC78C0"/>
    <w:rsid w:val="00FD000B"/>
    <w:rsid w:val="00FD00F8"/>
    <w:rsid w:val="00FD03FB"/>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50E"/>
    <w:rsid w:val="00FF2F94"/>
    <w:rsid w:val="00FF35C5"/>
    <w:rsid w:val="00FF37B2"/>
    <w:rsid w:val="00FF530E"/>
    <w:rsid w:val="00FF596D"/>
    <w:rsid w:val="00FF5C3C"/>
    <w:rsid w:val="00FF66BF"/>
    <w:rsid w:val="00FF7695"/>
    <w:rsid w:val="115992E9"/>
    <w:rsid w:val="1317C19C"/>
    <w:rsid w:val="22272894"/>
    <w:rsid w:val="239A316D"/>
    <w:rsid w:val="29729D5D"/>
    <w:rsid w:val="2BB991B2"/>
    <w:rsid w:val="307624B6"/>
    <w:rsid w:val="310BD09B"/>
    <w:rsid w:val="36BEE7C3"/>
    <w:rsid w:val="3929F526"/>
    <w:rsid w:val="39918C84"/>
    <w:rsid w:val="3CF340E4"/>
    <w:rsid w:val="41131D29"/>
    <w:rsid w:val="44187D9E"/>
    <w:rsid w:val="473C1012"/>
    <w:rsid w:val="49A7F474"/>
    <w:rsid w:val="4B6696A4"/>
    <w:rsid w:val="5447A6F0"/>
    <w:rsid w:val="5A7A8A2C"/>
    <w:rsid w:val="62C780E2"/>
    <w:rsid w:val="64902298"/>
    <w:rsid w:val="6D1DC6A4"/>
    <w:rsid w:val="789ECD87"/>
    <w:rsid w:val="7A1C9A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06776680">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05021776">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1113940">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59964808">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3832023">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37508410">
      <w:bodyDiv w:val="1"/>
      <w:marLeft w:val="0"/>
      <w:marRight w:val="0"/>
      <w:marTop w:val="0"/>
      <w:marBottom w:val="0"/>
      <w:divBdr>
        <w:top w:val="none" w:sz="0" w:space="0" w:color="auto"/>
        <w:left w:val="none" w:sz="0" w:space="0" w:color="auto"/>
        <w:bottom w:val="none" w:sz="0" w:space="0" w:color="auto"/>
        <w:right w:val="none" w:sz="0" w:space="0" w:color="auto"/>
      </w:divBdr>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043778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71DF608C-2653-4C03-AF69-EFE2E5B5E49C}"/>
</file>

<file path=docProps/app.xml><?xml version="1.0" encoding="utf-8"?>
<Properties xmlns="http://schemas.openxmlformats.org/officeDocument/2006/extended-properties" xmlns:vt="http://schemas.openxmlformats.org/officeDocument/2006/docPropsVTypes">
  <Template>Normal.dotm</Template>
  <TotalTime>15</TotalTime>
  <Pages>4</Pages>
  <Words>784</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carglumic acid-Carbaglu SGM 2122-A</dc:title>
  <dc:subject/>
  <dc:creator>CVS Caremark</dc:creator>
  <cp:keywords/>
  <cp:lastModifiedBy>Huerta, Linda M</cp:lastModifiedBy>
  <cp:revision>64</cp:revision>
  <cp:lastPrinted>2018-01-09T05:01:00Z</cp:lastPrinted>
  <dcterms:created xsi:type="dcterms:W3CDTF">2024-05-13T10:57:00Z</dcterms:created>
  <dcterms:modified xsi:type="dcterms:W3CDTF">2025-03-06T17:26:00Z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1132700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xd_ProgID">
    <vt:lpwstr/>
  </property>
  <property fmtid="{D5CDD505-2E9C-101B-9397-08002B2CF9AE}" pid="17" name="_SourceUrl">
    <vt:lpwstr/>
  </property>
  <property fmtid="{D5CDD505-2E9C-101B-9397-08002B2CF9AE}" pid="18" name="_SharedFileIndex">
    <vt:lpwstr/>
  </property>
  <property fmtid="{D5CDD505-2E9C-101B-9397-08002B2CF9AE}" pid="19" name="TemplateUrl">
    <vt:lpwstr/>
  </property>
</Properties>
</file>